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4F" w:rsidRPr="003E19B9" w:rsidRDefault="00663793" w:rsidP="003E1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kern w:val="36"/>
          <w:sz w:val="24"/>
          <w:szCs w:val="24"/>
        </w:rPr>
      </w:pPr>
      <w:r w:rsidRPr="003E19B9">
        <w:rPr>
          <w:rFonts w:ascii="Times New Roman" w:hAnsi="Times New Roman" w:cs="Times New Roman"/>
          <w:b/>
          <w:caps/>
          <w:kern w:val="36"/>
          <w:sz w:val="24"/>
          <w:szCs w:val="24"/>
        </w:rPr>
        <w:t>Р</w:t>
      </w:r>
      <w:r w:rsidR="00C5414F" w:rsidRPr="003E19B9">
        <w:rPr>
          <w:rFonts w:ascii="Times New Roman" w:hAnsi="Times New Roman" w:cs="Times New Roman"/>
          <w:b/>
          <w:caps/>
          <w:kern w:val="36"/>
          <w:sz w:val="24"/>
          <w:szCs w:val="24"/>
        </w:rPr>
        <w:t>еабилитация и абилитация инвалидов</w:t>
      </w:r>
    </w:p>
    <w:p w:rsidR="003E19B9" w:rsidRPr="003E19B9" w:rsidRDefault="003E19B9" w:rsidP="003E19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проживание, труд, обучение инвалидов максимально приближенными к их потребностям, учитывающими особенности и состояние здоровья, ограничения к жизнедеятельности и работе, законодательством утверждены меры по реабилитации и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Действительные и применяемые всеми госструктурами и медучреждениями термины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реабилитация инвалидов и </w:t>
      </w: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абилитация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освещены в </w:t>
      </w:r>
      <w:hyperlink r:id="rId8" w:history="1">
        <w:r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ФЗ №181 от 24.11.1995 г. «О социальной защите инвалидов в РФ»</w:t>
        </w:r>
      </w:hyperlink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(гл. 9).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Реабилитация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меры, предназначаемые для поэтапного восстановления способности инвалида трудиться, совершенствоваться в профессионализме, заниматься бытовой деятельностью. Успешно пройденный реабилитационный курс позволяет достичь поставленных в ИПР целей. Результаты учитываются при переосвидетельствовании.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Абилитация</w:t>
      </w:r>
      <w:proofErr w:type="spellEnd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инвалидов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меры по формированию способностей, которых раньше у инвалида не было, дополнительных навыков к занятиям трудом.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абилитации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дать шанс инвалиду стать финансово независимым, занять достойное место в социуме и вести полноценный образ жизни, стать открытым для общения, раздвинуть границы узкого привычного круга.</w:t>
      </w:r>
    </w:p>
    <w:p w:rsidR="00C5414F" w:rsidRPr="00B96D2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стандартный порядок освидетельствования инвалида подразумевал: персонально для него будет разработана и выдана </w:t>
      </w:r>
      <w:r w:rsidRPr="00B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программа реабилитации инвалида</w:t>
      </w: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ИПР (ст. 11 ФЗ №181). С введением в </w:t>
      </w:r>
      <w:hyperlink r:id="rId9" w:history="1">
        <w:r w:rsidRPr="00B96D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ФЗ №</w:t>
        </w:r>
        <w:r w:rsidR="00D458EE" w:rsidRPr="00B96D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gramStart"/>
        <w:r w:rsidRPr="00B96D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419</w:t>
        </w:r>
      </w:hyperlink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DF7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9A2DF7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01.01.2014г.</w:t>
      </w:r>
      <w:r w:rsidR="00D458EE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принципов </w:t>
      </w:r>
      <w:proofErr w:type="spellStart"/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8EE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практику внедряется </w:t>
      </w: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формирования индивидуальной программы </w:t>
      </w:r>
      <w:proofErr w:type="spellStart"/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(ИПА).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разработать ИПА возложена на бюро МСЭ. Положения ИПА</w:t>
      </w:r>
      <w:r w:rsidR="00D458EE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недопонимания</w:t>
      </w:r>
      <w:r w:rsidR="00D458EE"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излагаются лично тому, кому она адресована в максимально доступной и понятной форме. Выписки в соответствующие учреждения,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предоставляющие инвалидам услуги и средства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направляет бюро. К работе по направлению будут подключены центры занятости населения на местах, взаимодействующие с бюро МСЭ. Все это в совокупности позволит увеличить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программы </w:t>
      </w: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абилитации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2"/>
      <w:bookmarkEnd w:id="1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Физкультурно-оздоровительные мероприятия</w:t>
      </w:r>
      <w:bookmarkStart w:id="2" w:name="_GoBack"/>
      <w:bookmarkEnd w:id="2"/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плана реабилитации являются спорт и физкультура. В каждом случае состав мероприятий утверждается в бюро МСЭ данного территориального образования на региональном уровне. В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перечня физкультурно-оздоровительных мер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входить:</w:t>
      </w:r>
    </w:p>
    <w:p w:rsidR="00C5414F" w:rsidRPr="003E19B9" w:rsidRDefault="00C5414F" w:rsidP="003E19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инвалидов и предоставление им консультаций по вопросам физкультуры и спорта на базе ДЮСШ, физкультурно-спортивных клубов для инвалидов.</w:t>
      </w:r>
    </w:p>
    <w:p w:rsidR="00C5414F" w:rsidRPr="003E19B9" w:rsidRDefault="00C5414F" w:rsidP="003E19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адаптивной физкультурой, спортом.</w:t>
      </w:r>
    </w:p>
    <w:p w:rsidR="00C5414F" w:rsidRPr="003E19B9" w:rsidRDefault="00C5414F" w:rsidP="003E19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 привлечении к участию инвалидов в массовых физкультурно-спортивных мероприятиях при поддержке территориальных органов управления физкультурой и спортом, спортивных организаций для инвалидов, общественных некоммерческих объединений и структур.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ИПР являются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восстановительные медицинские мероприятия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 следующие виды:</w:t>
      </w:r>
    </w:p>
    <w:p w:rsidR="00C5414F" w:rsidRPr="003E19B9" w:rsidRDefault="00C5414F" w:rsidP="003E19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Реконструктивная хирургия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дает возможность восстановить функции органов, путем уменьшения или полного избавления от последствий увечий, врожденных или приобретенных дефектов. К операциям такого рода относятся: пересадка органов и тканей, реконструкция,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имплантация, микрохирургия. Доступными эти хирургические вмешательства для инвалидов сделала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целевая программа «Медицина высоких технологий»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9E4"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oter2" style="width:93pt;height:6pt"/>
        </w:pict>
      </w:r>
    </w:p>
    <w:p w:rsidR="00C5414F" w:rsidRPr="003E19B9" w:rsidRDefault="00C5414F" w:rsidP="003E19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Протезирование и </w:t>
      </w: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ортезирование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входят в состав программ реабилитации. Протезирование подразумевает восстановление утраченных возможностей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организма посредством применения протезов, а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замена утраченной функции внешним устройством (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ортезом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Финансирует покупку требующихся инвалиду протезов исполнительный орган ГУ КРО ФСС РФ, опираясь на </w:t>
      </w:r>
      <w:hyperlink r:id="rId10" w:history="1">
        <w:r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ПП РФ от 07.04.2008 г. № 240</w:t>
        </w:r>
      </w:hyperlink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C5414F" w:rsidRPr="003E19B9" w:rsidRDefault="00C5414F" w:rsidP="003E19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Санаторно-курортное лечение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составляющая восстанавливающего курса (</w:t>
      </w:r>
      <w:hyperlink r:id="rId11" w:history="1">
        <w:r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40 ФЗ №323 от 21.11.2011 г.</w:t>
        </w:r>
      </w:hyperlink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ИПР оно включается тогда, когда показано его применение для восстановления организма и/или снижения ограничений жизнедеятельности. Путевки оплачиваются Региональным отделением Фонда соцстраха РФ (</w:t>
      </w:r>
      <w:hyperlink r:id="rId12" w:history="1">
        <w:r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ФЗ №178 от 17.07.1999 г.</w:t>
        </w:r>
      </w:hyperlink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Справка, требующаяся для предоставления путевки (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№070/у-04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посмотреть и скачать можно здесь: [</w:t>
      </w:r>
      <w:hyperlink r:id="rId13" w:history="1">
        <w:r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Образец формы №070/у-04</w:t>
        </w:r>
      </w:hyperlink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]), в 2016 г., выдается после заключения МСЭ — ВК ООЛПП.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"/>
      <w:bookmarkEnd w:id="4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реабилитация инвалидов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ИПР включает в себя самую активную поддержку госструктур в профориентации, в состав которой входит:</w:t>
      </w:r>
    </w:p>
    <w:p w:rsidR="00C5414F" w:rsidRPr="003E19B9" w:rsidRDefault="003E69E4" w:rsidP="003E19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5414F" w:rsidRPr="003E1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Обучение и образование</w:t>
        </w:r>
      </w:hyperlink>
      <w:r w:rsidR="00C5414F"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бюро МСЭ и ЦЗН на местах оказывают помощь инвалидам в образовании от начального (школьного) уровня до высшего (вузы), при этом выбор формы обучения (очная, заочная, дистанционная) осуществляется по медицинским показаниям и по рекомендации лечащего врача.</w:t>
      </w:r>
    </w:p>
    <w:p w:rsidR="00C5414F" w:rsidRPr="003E19B9" w:rsidRDefault="00C5414F" w:rsidP="003E19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в трудоустройстве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включает сбор и предоставление важной информации инвалидам, помощь в нахождении подходящего места работы, устройство на работу на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спецпредприятия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поддерживаемое трудоустройство и соц</w:t>
      </w:r>
      <w:r w:rsid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на трудовом рынке в данном населенном пункте, трудовую адаптацию.</w:t>
      </w:r>
    </w:p>
    <w:p w:rsidR="00C5414F" w:rsidRPr="003E19B9" w:rsidRDefault="00C5414F" w:rsidP="003E19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адаптация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включает обеспечение оптимальных условий труда,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укомплектацию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спецоборудованием, закупку технических средств адаптации (ограничение по слуху, зрению), соц</w:t>
      </w:r>
      <w:r w:rsid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иальное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при заключении трудовых контрактов, по месту уже после оформления, согласно рекомендациям ИПР.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"/>
      <w:bookmarkEnd w:id="5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ИПР непременно включаются меры по комплексной социальной адаптации инвалида, в особенности детей.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Социально-педагогическая реабилитация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методы воспитания, педагогическая работа, призванные сформировать личностные качества, продемонстрировать спектр возможностей для самореализации, чтобы интегрировать гражданина в социум и помочь овладеть навыками и умениями самообслуживания, получить образование. Процедура состоит из 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 этапов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14F" w:rsidRPr="003E19B9" w:rsidRDefault="00C5414F" w:rsidP="003E19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выявление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самосознания инвалида, его роли в социуме, установление профессиональных интересов.</w:t>
      </w:r>
    </w:p>
    <w:p w:rsidR="00C5414F" w:rsidRPr="003E19B9" w:rsidRDefault="00C5414F" w:rsidP="003E19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практическая реализация ИПР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соц</w:t>
      </w:r>
      <w:r w:rsid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инвалида, зачисление в учебные заведения, трудоустройство.</w:t>
      </w:r>
    </w:p>
    <w:p w:rsidR="00C5414F" w:rsidRPr="003E19B9" w:rsidRDefault="00C5414F" w:rsidP="003E19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Постреабилитационная</w:t>
      </w:r>
      <w:proofErr w:type="spellEnd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защита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поддержка в налаживании взаимоотношений с родственниками, обществом, предупреждение возможных конфликтов.</w:t>
      </w:r>
    </w:p>
    <w:p w:rsidR="00C5414F" w:rsidRPr="003E19B9" w:rsidRDefault="00D458EE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14F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оциально-психологическ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5414F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социокультурн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5414F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реабилитаци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5414F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5414F"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 входят:</w:t>
      </w:r>
    </w:p>
    <w:p w:rsidR="00C5414F" w:rsidRPr="003E19B9" w:rsidRDefault="00C5414F" w:rsidP="003E1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Психодиагностика.</w:t>
      </w:r>
    </w:p>
    <w:p w:rsidR="00C5414F" w:rsidRPr="003E19B9" w:rsidRDefault="00C5414F" w:rsidP="003E1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Психотерапия.</w:t>
      </w:r>
    </w:p>
    <w:p w:rsidR="00C5414F" w:rsidRPr="003E19B9" w:rsidRDefault="00C5414F" w:rsidP="003E1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14F" w:rsidRPr="003E19B9" w:rsidRDefault="00C5414F" w:rsidP="003E1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Консультирование.</w:t>
      </w:r>
    </w:p>
    <w:p w:rsidR="00C5414F" w:rsidRPr="003E19B9" w:rsidRDefault="00C5414F" w:rsidP="003E19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реабилитация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применяет возможности искусства и культуры для развития у инвалида различных жизненно необходимых навыков, улучшению его жизненной позиции. В состав мероприятий могут включаться занятия в разнообразных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творческих коллективах и объединениях, участие в организации и проведении массовых культурных мероприятий. Формы социокультурной реабилитации многочисленны: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игровая терапия, </w:t>
      </w:r>
      <w:proofErr w:type="spellStart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иппотерапия</w:t>
      </w:r>
      <w:proofErr w:type="spellEnd"/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14F" w:rsidRPr="003E19B9" w:rsidRDefault="00C5414F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Социально-бытовая адаптация 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того, чтобы инвалид получил жизненно важные навыки и умения. В ее состав входят:</w:t>
      </w:r>
    </w:p>
    <w:p w:rsidR="00C5414F" w:rsidRPr="003E19B9" w:rsidRDefault="00C5414F" w:rsidP="003E1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</w:p>
    <w:p w:rsidR="00C5414F" w:rsidRPr="003E19B9" w:rsidRDefault="00C5414F" w:rsidP="003E1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 с участием органов соц</w:t>
      </w:r>
      <w:r w:rsidR="00B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иального </w:t>
      </w: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обслуживания.</w:t>
      </w:r>
    </w:p>
    <w:p w:rsidR="00C5414F" w:rsidRPr="003E19B9" w:rsidRDefault="00C5414F" w:rsidP="003E1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в «Школах реабилитации».</w:t>
      </w:r>
    </w:p>
    <w:p w:rsidR="00C5414F" w:rsidRPr="003E19B9" w:rsidRDefault="00C5414F" w:rsidP="003E19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самообслуживанию.</w:t>
      </w:r>
    </w:p>
    <w:p w:rsidR="00DA64BD" w:rsidRPr="003E19B9" w:rsidRDefault="00D458EE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6"/>
      <w:bookmarkEnd w:id="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</w:t>
      </w:r>
      <w:r w:rsidR="00C5414F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следует отметить, что </w:t>
      </w:r>
      <w:bookmarkStart w:id="7" w:name="7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A64BD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 ИПР состоит из разноплановых мероприятий, каждое из которых ставит своей задачей достижение адаптации инвалида в окружающей соц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иальной </w:t>
      </w:r>
      <w:r w:rsidR="00DA64BD"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среде. Достичь этого ИПР полагает посредством:</w:t>
      </w:r>
    </w:p>
    <w:p w:rsidR="00DA64BD" w:rsidRPr="003E19B9" w:rsidRDefault="00DA64BD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Физкультуры и спорта.</w:t>
      </w:r>
    </w:p>
    <w:p w:rsidR="00DA64BD" w:rsidRPr="003E19B9" w:rsidRDefault="00DA64BD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Медицины.</w:t>
      </w:r>
    </w:p>
    <w:p w:rsidR="00DA64BD" w:rsidRPr="003E19B9" w:rsidRDefault="00DA64BD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Профориентации.</w:t>
      </w:r>
    </w:p>
    <w:p w:rsidR="00DA64BD" w:rsidRPr="003E19B9" w:rsidRDefault="00DA64BD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Психологической и соц</w:t>
      </w:r>
      <w:r w:rsidR="00B9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иальной </w:t>
      </w: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адаптации.</w:t>
      </w:r>
    </w:p>
    <w:p w:rsidR="00DA64BD" w:rsidRPr="003E19B9" w:rsidRDefault="00DA64BD" w:rsidP="003E19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 только обозначить требующиеся меры, необходимо прописать в законе каждый аспект их практического воплощения. С вступлением в действие ФЗ №419 работа по организации </w:t>
      </w:r>
      <w:proofErr w:type="spellStart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безбарьерной</w:t>
      </w:r>
      <w:proofErr w:type="spellEnd"/>
      <w:r w:rsidRPr="003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 и совершенствованию реабилитации инвалидов только продолжена, но не завершена.</w:t>
      </w:r>
    </w:p>
    <w:sectPr w:rsidR="00DA64BD" w:rsidRPr="003E19B9" w:rsidSect="00C632E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E4" w:rsidRDefault="003E69E4" w:rsidP="00B67640">
      <w:pPr>
        <w:spacing w:after="0" w:line="240" w:lineRule="auto"/>
      </w:pPr>
      <w:r>
        <w:separator/>
      </w:r>
    </w:p>
  </w:endnote>
  <w:endnote w:type="continuationSeparator" w:id="0">
    <w:p w:rsidR="003E69E4" w:rsidRDefault="003E69E4" w:rsidP="00B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3011"/>
      <w:docPartObj>
        <w:docPartGallery w:val="Page Numbers (Bottom of Page)"/>
        <w:docPartUnique/>
      </w:docPartObj>
    </w:sdtPr>
    <w:sdtEndPr/>
    <w:sdtContent>
      <w:p w:rsidR="00B67640" w:rsidRDefault="0072434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640" w:rsidRDefault="00B676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E4" w:rsidRDefault="003E69E4" w:rsidP="00B67640">
      <w:pPr>
        <w:spacing w:after="0" w:line="240" w:lineRule="auto"/>
      </w:pPr>
      <w:r>
        <w:separator/>
      </w:r>
    </w:p>
  </w:footnote>
  <w:footnote w:type="continuationSeparator" w:id="0">
    <w:p w:rsidR="003E69E4" w:rsidRDefault="003E69E4" w:rsidP="00B6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4E"/>
    <w:multiLevelType w:val="multilevel"/>
    <w:tmpl w:val="0D4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946"/>
    <w:multiLevelType w:val="multilevel"/>
    <w:tmpl w:val="DEC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37A5E"/>
    <w:multiLevelType w:val="multilevel"/>
    <w:tmpl w:val="966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A33AB"/>
    <w:multiLevelType w:val="multilevel"/>
    <w:tmpl w:val="E9D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343F9"/>
    <w:multiLevelType w:val="multilevel"/>
    <w:tmpl w:val="F18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814C8"/>
    <w:multiLevelType w:val="multilevel"/>
    <w:tmpl w:val="FD6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41079"/>
    <w:multiLevelType w:val="multilevel"/>
    <w:tmpl w:val="2C8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64BF3"/>
    <w:multiLevelType w:val="multilevel"/>
    <w:tmpl w:val="96E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3696C"/>
    <w:multiLevelType w:val="multilevel"/>
    <w:tmpl w:val="35F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169A8"/>
    <w:multiLevelType w:val="multilevel"/>
    <w:tmpl w:val="3EF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4F"/>
    <w:rsid w:val="002F3FAD"/>
    <w:rsid w:val="00315D9D"/>
    <w:rsid w:val="00340E0D"/>
    <w:rsid w:val="003E19B9"/>
    <w:rsid w:val="003E69E4"/>
    <w:rsid w:val="00663793"/>
    <w:rsid w:val="0072434C"/>
    <w:rsid w:val="00917702"/>
    <w:rsid w:val="009A2DF7"/>
    <w:rsid w:val="00B67640"/>
    <w:rsid w:val="00B96D29"/>
    <w:rsid w:val="00BF19CC"/>
    <w:rsid w:val="00BF5BCD"/>
    <w:rsid w:val="00C5414F"/>
    <w:rsid w:val="00C632E0"/>
    <w:rsid w:val="00D458EE"/>
    <w:rsid w:val="00D54361"/>
    <w:rsid w:val="00D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BC58-457D-468C-9B50-D2570C5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E0"/>
  </w:style>
  <w:style w:type="paragraph" w:styleId="1">
    <w:name w:val="heading 1"/>
    <w:basedOn w:val="a"/>
    <w:link w:val="10"/>
    <w:uiPriority w:val="9"/>
    <w:qFormat/>
    <w:rsid w:val="00C5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4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64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64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41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41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A64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64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B6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640"/>
  </w:style>
  <w:style w:type="paragraph" w:styleId="a8">
    <w:name w:val="footer"/>
    <w:basedOn w:val="a"/>
    <w:link w:val="a9"/>
    <w:uiPriority w:val="99"/>
    <w:unhideWhenUsed/>
    <w:rsid w:val="00B6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071">
          <w:blockQuote w:val="1"/>
          <w:marLeft w:val="335"/>
          <w:marRight w:val="335"/>
          <w:marTop w:val="335"/>
          <w:marBottom w:val="335"/>
          <w:divBdr>
            <w:top w:val="single" w:sz="24" w:space="13" w:color="88CAE2"/>
            <w:left w:val="single" w:sz="24" w:space="31" w:color="88CAE2"/>
            <w:bottom w:val="single" w:sz="24" w:space="13" w:color="88CAE2"/>
            <w:right w:val="single" w:sz="24" w:space="0" w:color="88CAE2"/>
          </w:divBdr>
        </w:div>
        <w:div w:id="291908853">
          <w:blockQuote w:val="1"/>
          <w:marLeft w:val="335"/>
          <w:marRight w:val="335"/>
          <w:marTop w:val="335"/>
          <w:marBottom w:val="335"/>
          <w:divBdr>
            <w:top w:val="single" w:sz="24" w:space="13" w:color="88CAE2"/>
            <w:left w:val="single" w:sz="24" w:space="31" w:color="88CAE2"/>
            <w:bottom w:val="single" w:sz="24" w:space="13" w:color="88CAE2"/>
            <w:right w:val="single" w:sz="24" w:space="0" w:color="88CAE2"/>
          </w:divBdr>
        </w:div>
        <w:div w:id="1786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633">
              <w:marLeft w:val="335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200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561">
          <w:marLeft w:val="335"/>
          <w:marRight w:val="335"/>
          <w:marTop w:val="335"/>
          <w:marBottom w:val="335"/>
          <w:divBdr>
            <w:top w:val="single" w:sz="24" w:space="8" w:color="B5A7BE"/>
            <w:left w:val="single" w:sz="24" w:space="31" w:color="B5A7BE"/>
            <w:bottom w:val="single" w:sz="24" w:space="8" w:color="B5A7BE"/>
            <w:right w:val="single" w:sz="24" w:space="0" w:color="B5A7B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benefit.ru/wp-content/uploads/2016/07/%D0%A4%D0%B5%D0%B4%D0%B5%D1%80%D0%B0%D0%BB%D1%8C%D0%BD%D1%8B%D0%B9-%D0%B7%D0%B0%D0%BA%D0%BE%D0%BD-%D0%BE%D1%82-24-%D0%BD%D0%BE%D1%8F%D0%B1%D1%80%D1%8F-1995-%D0%B3.-N-181-%D0%A4%D0%97-%D0%9E-%D1%81%D0%BE%D1%86%D0%B8%D0%B0%D0%BB%D1%8C%D0%BD%D0%BE-1.rtf" TargetMode="External"/><Relationship Id="rId13" Type="http://schemas.openxmlformats.org/officeDocument/2006/relationships/hyperlink" Target="http://social-benefit.ru/wp-content/uploads/2016/07/%D0%BE%D0%B1%D1%80%D0%B0%D0%B7%D0%B5%D1%86-%D1%84%D0%BE%D1%80%D0%BC%D1%8B-070-%D1%83-0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-benefit.ru/wp-content/uploads/2016/07/%D0%A4%D0%B5%D0%B4%D0%B5%D1%80%D0%B0%D0%BB%D1%8C%D0%BD%D1%8B%D0%B9-%D0%B7%D0%B0%D0%BA%D0%BE%D0%BD-%D0%BE%D1%82-17-%D0%B8%D1%8E%D0%BB%D1%8F-1999-%D0%B3.-N-178-%D0%A4%D0%97-%D0%9E-%D0%B3%D0%BE%D1%81%D1%83%D0%B4%D0%B0%D1%80%D1%81%D1%82%D0%B2%D0%B5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-benefit.ru/wp-content/uploads/2016/07/%D0%A4%D0%B5%D0%B4%D0%B5%D1%80%D0%B0%D0%BB%D1%8C%D0%BD%D1%8B%D0%B9-%D0%B7%D0%B0%D0%BA%D0%BE%D0%BD-%D0%BE%D1%82-21-%D0%BD%D0%BE%D1%8F%D0%B1%D1%80%D1%8F-2011-%D0%B3.-N-323-%D0%A4%D0%97-%D0%9E%D0%B1-%D0%BE%D1%81%D0%BD%D0%BE%D0%B2%D0%B0%D1%85-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cial-benefit.ru/wp-content/uploads/2016/07/%D0%9F%D0%BE%D1%81%D1%82%D0%B0%D0%BD%D0%BE%D0%B2%D0%BB%D0%B5%D0%BD%D0%B8%D0%B5-%D0%9F%D1%80%D0%B0%D0%B2%D0%B8%D1%82%D0%B5%D0%BB%D1%8C%D1%81%D1%82%D0%B2%D0%B0-%D0%A0%D0%A4-%D0%BE%D1%82-7-%D0%B0%D0%BF%D1%80%D0%B5%D0%BB%D1%8F-2008-%D0%B3.-N-240-%D0%9E-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-benefit.ru/wp-content/uploads/2016/07/%D0%A4%D0%B5%D0%B4%D0%B5%D1%80%D0%B0%D0%BB%D1%8C%D0%BD%D1%8B%D0%B9-%D0%B7%D0%B0%D0%BA%D0%BE%D0%BD-%D0%BE%D1%82-1-%D0%B4%D0%B5%D0%BA%D0%B0%D0%B1%D1%80%D1%8F-2014-%D0%B3.-N-419-%D0%A4%D0%97-%D0%9E-%D0%B2%D0%BD%D0%B5%D1%81%D0%B5%D0%BD%D0%B8%D0%B8-.rtf" TargetMode="External"/><Relationship Id="rId14" Type="http://schemas.openxmlformats.org/officeDocument/2006/relationships/hyperlink" Target="http://social-benefit.ru/deti/socialnaya-podderzhka-shkolnikov-i-stud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08FE96-F88C-4182-AB0A-CCCC956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Юридическая клиника СибАГС</cp:lastModifiedBy>
  <cp:revision>4</cp:revision>
  <dcterms:created xsi:type="dcterms:W3CDTF">2018-12-19T06:53:00Z</dcterms:created>
  <dcterms:modified xsi:type="dcterms:W3CDTF">2018-12-19T06:54:00Z</dcterms:modified>
</cp:coreProperties>
</file>